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Documents d´appel d´offres</w:t>
      </w:r>
    </w:p>
    <w:p/>
    <w:p/>
    <w:p>
      <w:pPr>
        <w:jc w:val="center"/>
      </w:pPr>
      <w:r>
        <w:pict>
          <v:shape type="#_x0000_t75" stroked="f" style="width:130pt; height:130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Nom du produit</w:t>
      </w:r>
    </w:p>
    <w:p>
      <w:pPr/>
      <w:r>
        <w:rPr>
          <w:sz w:val="22"/>
          <w:szCs w:val="22"/>
        </w:rPr>
        <w:t xml:space="preserve">Moniteur Intérieur IP A1101 White Edition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Brève description</w:t>
      </w:r>
    </w:p>
    <w:p>
      <w:pPr/>
      <w:r>
        <w:rPr>
          <w:sz w:val="22"/>
          <w:szCs w:val="22"/>
        </w:rPr>
        <w:t xml:space="preserve">Pour la communication de porte dans les maisons unifamiliales et multifamiliales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Description du produit</w:t>
      </w:r>
    </w:p>
    <w:p>
      <w:pPr>
        <w:numPr>
          <w:ilvl w:val="0"/>
          <w:numId w:val="1"/>
        </w:numPr>
      </w:pPr>
      <w:r>
        <w:rPr/>
        <w:t xml:space="preserve">Connexion WiFi / LAN (compatible PoE)</w:t>
      </w:r>
    </w:p>
    <w:p>
      <w:pPr>
        <w:numPr>
          <w:ilvl w:val="0"/>
          <w:numId w:val="1"/>
        </w:numPr>
      </w:pPr>
      <w:r>
        <w:rPr/>
        <w:t xml:space="preserve">Écran tactile couleur 4“</w:t>
      </w:r>
    </w:p>
    <w:p>
      <w:pPr>
        <w:numPr>
          <w:ilvl w:val="0"/>
          <w:numId w:val="1"/>
        </w:numPr>
      </w:pPr>
      <w:r>
        <w:rPr/>
        <w:t xml:space="preserve">Audio bidirectionnel HD, jusqu‘à102 dB</w:t>
      </w:r>
    </w:p>
    <w:p>
      <w:pPr>
        <w:numPr>
          <w:ilvl w:val="0"/>
          <w:numId w:val="1"/>
        </w:numPr>
      </w:pPr>
      <w:r>
        <w:rPr/>
        <w:t xml:space="preserve">Communication de pièce à pièce</w:t>
      </w:r>
    </w:p>
    <w:p>
      <w:pPr>
        <w:numPr>
          <w:ilvl w:val="0"/>
          <w:numId w:val="1"/>
        </w:numPr>
      </w:pPr>
      <w:r>
        <w:rPr/>
        <w:t xml:space="preserve">Compatible avec SIP</w:t>
      </w:r>
    </w:p>
    <w:p>
      <w:pPr>
        <w:numPr>
          <w:ilvl w:val="0"/>
          <w:numId w:val="1"/>
        </w:numPr>
      </w:pPr>
      <w:r>
        <w:rPr/>
        <w:t xml:space="preserve">Contrôle domotique</w:t>
      </w:r>
    </w:p>
    <w:p>
      <w:pPr>
        <w:numPr>
          <w:ilvl w:val="0"/>
          <w:numId w:val="1"/>
        </w:numPr>
      </w:pPr>
      <w:r>
        <w:rPr/>
        <w:t xml:space="preserve">3 relais de commutation bistables librement configurables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Faits marquants et détails</w:t>
      </w:r>
    </w:p>
    <w:p>
      <w:pPr>
        <w:numPr>
          <w:ilvl w:val="0"/>
          <w:numId w:val="1"/>
        </w:numPr>
      </w:pPr>
      <w:r>
        <w:rPr/>
        <w:t xml:space="preserve">Les avantages de la technologie IP Ouverture des portes et contrôle des ascenseurs Historique des visiteurs (enregistrement gratuit via le cloud) Communication de pièce à pièce, en cas d'utilisation de plusieurs stations intérieures Support SIP, par exemple pour la conciergerie ou l'appel du concierge Prévisions météorologiques Contrôle domotique (IP, TCP, HTTPS, relais, etc.) Configuration à distance via l‘application DoorBird</w:t>
      </w:r>
    </w:p>
    <w:p>
      <w:pPr>
        <w:numPr>
          <w:ilvl w:val="0"/>
          <w:numId w:val="1"/>
        </w:numPr>
      </w:pPr>
      <w:r>
        <w:rPr/>
        <w:t xml:space="preserve">Interface Intuitive Écran tactile couleur 4“ Verre de sécurité Gorilla® résistant aux rayures</w:t>
      </w:r>
    </w:p>
    <w:p>
      <w:pPr>
        <w:numPr>
          <w:ilvl w:val="0"/>
          <w:numId w:val="1"/>
        </w:numPr>
      </w:pPr>
      <w:r>
        <w:rPr/>
        <w:t xml:space="preserve">Audio Bidirectionnel Audio HD, jusqu‘à102 dB 50 sonneries</w:t>
      </w:r>
    </w:p>
    <w:p>
      <w:pPr>
        <w:numPr>
          <w:ilvl w:val="0"/>
          <w:numId w:val="1"/>
        </w:numPr>
      </w:pPr>
      <w:r>
        <w:rPr/>
        <w:t xml:space="preserve">Boîtier Compact  5 boutons-poussoirs pour les fonctions principales Couleur de la barre d‘état LED configurable</w:t>
      </w:r>
    </w:p>
    <w:p>
      <w:pPr>
        <w:numPr>
          <w:ilvl w:val="0"/>
          <w:numId w:val="1"/>
        </w:numPr>
      </w:pPr>
      <w:r>
        <w:rPr/>
        <w:t xml:space="preserve">Wifi intégré Fonctionne au sein d'un réseau WiFi Connexion possible via POE ou Ethernet</w:t>
      </w:r>
    </w:p>
    <w:p>
      <w:pPr>
        <w:numPr>
          <w:ilvl w:val="0"/>
          <w:numId w:val="1"/>
        </w:numPr>
      </w:pPr>
      <w:r>
        <w:rPr/>
        <w:t xml:space="preserve">Fonctions supplémentaires Système d‘ouverture automatique des portes, p.ex. pour les bureaux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Poids du produit</w:t>
      </w:r>
    </w:p>
    <w:p>
      <w:pPr/>
      <w:r>
        <w:rPr/>
        <w:t xml:space="preserve">1150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Délai de livraison</w:t>
      </w:r>
    </w:p>
    <w:p>
      <w:pPr/>
      <w:r>
        <w:rPr/>
        <w:t xml:space="preserve">Livraison en 4 jours ouvrables 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Fiche technique</w:t>
      </w:r>
    </w:p>
    <w:p>
      <w:hyperlink r:id="rId8" w:history="1">
        <w:r>
          <w:rPr>
            <w:color w:val="0000FF"/>
          </w:rPr>
          <w:t xml:space="preserve">datasheet_a1101_fr.pdf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Souvent commandé en même temps</w:t>
      </w:r>
    </w:p>
    <w:p>
      <w:pPr>
        <w:numPr>
          <w:ilvl w:val="0"/>
          <w:numId w:val="1"/>
        </w:numPr>
      </w:pPr>
      <w:r>
        <w:rPr/>
        <w:t xml:space="preserve">Socle de table A8003 White Edition</w:t>
      </w:r>
    </w:p>
    <w:p>
      <w:pPr>
        <w:numPr>
          <w:ilvl w:val="0"/>
          <w:numId w:val="1"/>
        </w:numPr>
      </w:pPr>
      <w:r>
        <w:rPr/>
        <w:t xml:space="preserve">Moniteur intérieur IP A1101 Black Edition</w:t>
      </w:r>
    </w:p>
    <w:p>
      <w:pPr>
        <w:numPr>
          <w:ilvl w:val="0"/>
          <w:numId w:val="1"/>
        </w:numPr>
      </w:pPr>
      <w:r>
        <w:rPr/>
        <w:t xml:space="preserve">D2101V Interphone Vidéo IP</w:t>
      </w:r>
    </w:p>
    <w:p>
      <w:pPr>
        <w:numPr>
          <w:ilvl w:val="0"/>
          <w:numId w:val="1"/>
        </w:numPr>
      </w:pPr>
      <w:r>
        <w:rPr/>
        <w:t xml:space="preserve">D1101V Montage encastré Interphone Vidéo IP</w:t>
      </w:r>
    </w:p>
    <w:p>
      <w:pPr>
        <w:numPr>
          <w:ilvl w:val="0"/>
          <w:numId w:val="1"/>
        </w:numPr>
      </w:pPr>
      <w:r>
        <w:rPr/>
        <w:t xml:space="preserve">Gigabit High-PoE-Injector A1093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Sous réserve d‘erreurs et d‘omissions. | Dernière actualisation 09/2024 -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Sous réserve d‘erreurs et d‘omissions. | Dernière actualisation 09/2024 -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0D31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a1101_fr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2024-09-24T18:34:49+02:00</dcterms:created>
  <dcterms:modified xsi:type="dcterms:W3CDTF">2024-09-24T18:34:49+02:00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